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Look w:val="04A0" w:firstRow="1" w:lastRow="0" w:firstColumn="1" w:lastColumn="0" w:noHBand="0" w:noVBand="1"/>
      </w:tblPr>
      <w:tblGrid>
        <w:gridCol w:w="2689"/>
        <w:gridCol w:w="7512"/>
      </w:tblGrid>
      <w:tr w:rsidR="00307C86" w14:paraId="7201BC9A" w14:textId="77777777" w:rsidTr="00BA1075">
        <w:tc>
          <w:tcPr>
            <w:tcW w:w="2689" w:type="dxa"/>
          </w:tcPr>
          <w:p w14:paraId="7677607D" w14:textId="230287B2" w:rsidR="00307C86" w:rsidRDefault="00307C86">
            <w:pPr>
              <w:rPr>
                <w:rFonts w:ascii="Arial" w:hAnsi="Arial" w:cs="Arial"/>
                <w:b/>
                <w:bCs/>
                <w:sz w:val="24"/>
                <w:szCs w:val="24"/>
              </w:rPr>
            </w:pPr>
            <w:r>
              <w:rPr>
                <w:rFonts w:ascii="Arial" w:hAnsi="Arial" w:cs="Arial"/>
                <w:b/>
                <w:bCs/>
                <w:sz w:val="24"/>
                <w:szCs w:val="24"/>
              </w:rPr>
              <w:t>Title</w:t>
            </w:r>
          </w:p>
        </w:tc>
        <w:tc>
          <w:tcPr>
            <w:tcW w:w="7512" w:type="dxa"/>
          </w:tcPr>
          <w:p w14:paraId="4CBC2BFE" w14:textId="77777777" w:rsidR="004B6B8F" w:rsidRDefault="00275B1D">
            <w:pPr>
              <w:rPr>
                <w:rFonts w:ascii="Arial" w:hAnsi="Arial" w:cs="Arial"/>
              </w:rPr>
            </w:pPr>
            <w:r w:rsidRPr="00275B1D">
              <w:rPr>
                <w:rFonts w:ascii="Arial" w:hAnsi="Arial" w:cs="Arial"/>
              </w:rPr>
              <w:t>Building Plan 13th Month Follow up Smart Survey</w:t>
            </w:r>
          </w:p>
          <w:p w14:paraId="5CBDA221" w14:textId="79FC53DC" w:rsidR="00275B1D" w:rsidRPr="00606C6A" w:rsidRDefault="00275B1D">
            <w:pPr>
              <w:rPr>
                <w:rFonts w:ascii="Arial" w:hAnsi="Arial" w:cs="Arial"/>
              </w:rPr>
            </w:pPr>
          </w:p>
        </w:tc>
      </w:tr>
      <w:tr w:rsidR="00307C86" w14:paraId="6224161F" w14:textId="77777777" w:rsidTr="00BA1075">
        <w:tc>
          <w:tcPr>
            <w:tcW w:w="2689" w:type="dxa"/>
          </w:tcPr>
          <w:p w14:paraId="47AD605F" w14:textId="43A1B624" w:rsidR="00307C86" w:rsidRDefault="00307C86">
            <w:pPr>
              <w:rPr>
                <w:rFonts w:ascii="Arial" w:hAnsi="Arial" w:cs="Arial"/>
                <w:b/>
                <w:bCs/>
                <w:sz w:val="24"/>
                <w:szCs w:val="24"/>
              </w:rPr>
            </w:pPr>
            <w:r>
              <w:rPr>
                <w:rFonts w:ascii="Arial" w:hAnsi="Arial" w:cs="Arial"/>
                <w:b/>
                <w:bCs/>
                <w:sz w:val="24"/>
                <w:szCs w:val="24"/>
              </w:rPr>
              <w:t>Organisation</w:t>
            </w:r>
          </w:p>
        </w:tc>
        <w:tc>
          <w:tcPr>
            <w:tcW w:w="7512" w:type="dxa"/>
          </w:tcPr>
          <w:p w14:paraId="3AA6F2C4" w14:textId="77777777" w:rsidR="004B6B8F" w:rsidRDefault="00275B1D">
            <w:pPr>
              <w:rPr>
                <w:rFonts w:ascii="Arial" w:hAnsi="Arial" w:cs="Arial"/>
              </w:rPr>
            </w:pPr>
            <w:proofErr w:type="spellStart"/>
            <w:r w:rsidRPr="00275B1D">
              <w:rPr>
                <w:rFonts w:ascii="Arial" w:hAnsi="Arial" w:cs="Arial"/>
              </w:rPr>
              <w:t>Midvaal</w:t>
            </w:r>
            <w:proofErr w:type="spellEnd"/>
            <w:r w:rsidRPr="00275B1D">
              <w:rPr>
                <w:rFonts w:ascii="Arial" w:hAnsi="Arial" w:cs="Arial"/>
              </w:rPr>
              <w:t xml:space="preserve"> Local Municipality</w:t>
            </w:r>
            <w:r>
              <w:rPr>
                <w:rFonts w:ascii="Arial" w:hAnsi="Arial" w:cs="Arial"/>
              </w:rPr>
              <w:t>, Gauteng Province</w:t>
            </w:r>
          </w:p>
          <w:p w14:paraId="6157033D" w14:textId="2ECE91DD" w:rsidR="00275B1D" w:rsidRPr="00606C6A" w:rsidRDefault="00275B1D">
            <w:pPr>
              <w:rPr>
                <w:rFonts w:ascii="Arial" w:hAnsi="Arial" w:cs="Arial"/>
              </w:rPr>
            </w:pPr>
          </w:p>
        </w:tc>
      </w:tr>
      <w:tr w:rsidR="00307C86" w14:paraId="71C257A4" w14:textId="77777777" w:rsidTr="00BA1075">
        <w:tc>
          <w:tcPr>
            <w:tcW w:w="2689" w:type="dxa"/>
          </w:tcPr>
          <w:p w14:paraId="1D7190BC" w14:textId="0D7AB1D6" w:rsidR="00307C86" w:rsidRDefault="00307C86" w:rsidP="005719CA">
            <w:pPr>
              <w:jc w:val="both"/>
              <w:rPr>
                <w:rFonts w:ascii="Arial" w:hAnsi="Arial" w:cs="Arial"/>
                <w:b/>
                <w:bCs/>
                <w:sz w:val="24"/>
                <w:szCs w:val="24"/>
              </w:rPr>
            </w:pPr>
            <w:r>
              <w:rPr>
                <w:rFonts w:ascii="Arial" w:hAnsi="Arial" w:cs="Arial"/>
                <w:b/>
                <w:bCs/>
                <w:sz w:val="24"/>
                <w:szCs w:val="24"/>
              </w:rPr>
              <w:t>Innovation</w:t>
            </w:r>
          </w:p>
        </w:tc>
        <w:tc>
          <w:tcPr>
            <w:tcW w:w="7512" w:type="dxa"/>
          </w:tcPr>
          <w:p w14:paraId="503118C7" w14:textId="38E830B8" w:rsidR="00275B1D" w:rsidRPr="00275B1D" w:rsidRDefault="00275B1D" w:rsidP="00275B1D">
            <w:pPr>
              <w:jc w:val="both"/>
              <w:rPr>
                <w:rFonts w:ascii="Arial" w:hAnsi="Arial" w:cs="Arial"/>
              </w:rPr>
            </w:pPr>
            <w:proofErr w:type="spellStart"/>
            <w:r w:rsidRPr="00275B1D">
              <w:rPr>
                <w:rFonts w:ascii="Arial" w:hAnsi="Arial" w:cs="Arial"/>
              </w:rPr>
              <w:t>Midvaal</w:t>
            </w:r>
            <w:proofErr w:type="spellEnd"/>
            <w:r w:rsidRPr="00275B1D">
              <w:rPr>
                <w:rFonts w:ascii="Arial" w:hAnsi="Arial" w:cs="Arial"/>
              </w:rPr>
              <w:t xml:space="preserve"> </w:t>
            </w:r>
            <w:r>
              <w:rPr>
                <w:rFonts w:ascii="Arial" w:hAnsi="Arial" w:cs="Arial"/>
              </w:rPr>
              <w:t xml:space="preserve">Local Municipality </w:t>
            </w:r>
            <w:r w:rsidRPr="00275B1D">
              <w:rPr>
                <w:rFonts w:ascii="Arial" w:hAnsi="Arial" w:cs="Arial"/>
              </w:rPr>
              <w:t>has implemented an ArcGIS enterprise Portal which is a key component of the ArcGIS Enterprise platform. It is designed to help organizations create, manage, and share geographic information and maps across their teams. It provides a secure, web-based environment where users can access and interact with GIS data, applications, and tools.</w:t>
            </w:r>
          </w:p>
          <w:p w14:paraId="06907897" w14:textId="5FD5F730" w:rsidR="00275B1D" w:rsidRDefault="00275B1D" w:rsidP="00275B1D">
            <w:pPr>
              <w:jc w:val="both"/>
              <w:rPr>
                <w:rFonts w:ascii="Arial" w:hAnsi="Arial" w:cs="Arial"/>
              </w:rPr>
            </w:pPr>
            <w:r w:rsidRPr="00275B1D">
              <w:rPr>
                <w:rFonts w:ascii="Arial" w:hAnsi="Arial" w:cs="Arial"/>
              </w:rPr>
              <w:t xml:space="preserve">The ArcGIS Enterprise Portal offers a range of additional geospatial solutions designed to enhance productivity. Among these solutions is ArcGIS Survey123, a comprehensive platform for creating, sharing, and analysing information gathered through form-centric surveys. Accessible on various devices such as smartphones, tablets, laptops, and desktops, either as an app or through a web browser, Survey123 facilitates a transition to a paperless system. By enabling the digital completion of forms and reports, it streamlines data collection processes. </w:t>
            </w:r>
          </w:p>
          <w:p w14:paraId="100B5173" w14:textId="77777777" w:rsidR="000E63C2" w:rsidRPr="00275B1D" w:rsidRDefault="000E63C2" w:rsidP="00275B1D">
            <w:pPr>
              <w:jc w:val="both"/>
              <w:rPr>
                <w:rFonts w:ascii="Arial" w:hAnsi="Arial" w:cs="Arial"/>
              </w:rPr>
            </w:pPr>
          </w:p>
          <w:p w14:paraId="6B4B27EE" w14:textId="07E3A666" w:rsidR="004B6B8F" w:rsidRDefault="00275B1D" w:rsidP="00275B1D">
            <w:pPr>
              <w:jc w:val="both"/>
              <w:rPr>
                <w:rFonts w:ascii="Arial" w:hAnsi="Arial" w:cs="Arial"/>
              </w:rPr>
            </w:pPr>
            <w:r w:rsidRPr="00275B1D">
              <w:rPr>
                <w:rFonts w:ascii="Arial" w:hAnsi="Arial" w:cs="Arial"/>
              </w:rPr>
              <w:t>In the Building Plan 13th Month Follow up Smart Survey, ArcGIS Survey123 plays an important role in streamlining the inspection process for building plan applications. Initially, the Building Control section provided a list of questions to be addressed for applications in the 13th month phase. These questions are configured into a digital form on the ArcGIS Survey123 platform.</w:t>
            </w:r>
            <w:r w:rsidR="000E63C2">
              <w:rPr>
                <w:rFonts w:ascii="Arial" w:hAnsi="Arial" w:cs="Arial"/>
              </w:rPr>
              <w:t xml:space="preserve"> </w:t>
            </w:r>
            <w:r w:rsidRPr="00275B1D">
              <w:rPr>
                <w:rFonts w:ascii="Arial" w:hAnsi="Arial" w:cs="Arial"/>
              </w:rPr>
              <w:t>When a building inspector visits a site, they complete the survey form on their mobile device, including details such as drop-pin locations. The completed data is sent to the ArcGIS Enterprise Portal. Upon submission, an automation system, Microsoft Power Automate, retrieves the survey responses and automatically updates the main spreadsheet with the information. This integration ensures that all application details are efficiently captured and managed, enhancing the overall efficiency of the investigation process.</w:t>
            </w:r>
          </w:p>
          <w:p w14:paraId="28CA3E3C" w14:textId="0F9531B9" w:rsidR="00275B1D" w:rsidRPr="004B6B8F" w:rsidRDefault="00275B1D" w:rsidP="00275B1D">
            <w:pPr>
              <w:jc w:val="both"/>
              <w:rPr>
                <w:rFonts w:ascii="Arial" w:hAnsi="Arial" w:cs="Arial"/>
              </w:rPr>
            </w:pPr>
          </w:p>
        </w:tc>
      </w:tr>
      <w:tr w:rsidR="00307C86" w14:paraId="31A6174E" w14:textId="77777777" w:rsidTr="00BA1075">
        <w:tc>
          <w:tcPr>
            <w:tcW w:w="2689" w:type="dxa"/>
          </w:tcPr>
          <w:p w14:paraId="47A9123C" w14:textId="5C649B25" w:rsidR="00307C86" w:rsidRDefault="00307C86" w:rsidP="005719CA">
            <w:pPr>
              <w:jc w:val="both"/>
              <w:rPr>
                <w:rFonts w:ascii="Arial" w:hAnsi="Arial" w:cs="Arial"/>
                <w:b/>
                <w:bCs/>
                <w:sz w:val="24"/>
                <w:szCs w:val="24"/>
              </w:rPr>
            </w:pPr>
            <w:r>
              <w:rPr>
                <w:rFonts w:ascii="Arial" w:hAnsi="Arial" w:cs="Arial"/>
                <w:b/>
                <w:bCs/>
                <w:sz w:val="24"/>
                <w:szCs w:val="24"/>
              </w:rPr>
              <w:t>Impact</w:t>
            </w:r>
          </w:p>
        </w:tc>
        <w:tc>
          <w:tcPr>
            <w:tcW w:w="7512" w:type="dxa"/>
          </w:tcPr>
          <w:p w14:paraId="099A9723" w14:textId="3849FD3A" w:rsidR="00275B1D" w:rsidRPr="000E63C2" w:rsidRDefault="00275B1D" w:rsidP="000E63C2">
            <w:pPr>
              <w:pStyle w:val="ListParagraph"/>
              <w:numPr>
                <w:ilvl w:val="0"/>
                <w:numId w:val="3"/>
              </w:numPr>
              <w:jc w:val="both"/>
              <w:rPr>
                <w:rFonts w:ascii="Arial" w:hAnsi="Arial" w:cs="Arial"/>
              </w:rPr>
            </w:pPr>
            <w:r w:rsidRPr="000E63C2">
              <w:rPr>
                <w:rFonts w:ascii="Arial" w:hAnsi="Arial" w:cs="Arial"/>
              </w:rPr>
              <w:t>Increased Efficiency - The integration of ArcGIS Survey123 with Microsoft Power Automate has streamlined the inspection process, reducing the time required to collect, record, and report data. This has accelerated the overall workflow, allowing inspections to be completed and processed more efficiently.</w:t>
            </w:r>
          </w:p>
          <w:p w14:paraId="0AA4C540" w14:textId="37F8337C" w:rsidR="00275B1D" w:rsidRPr="000E63C2" w:rsidRDefault="00275B1D" w:rsidP="000E63C2">
            <w:pPr>
              <w:pStyle w:val="ListParagraph"/>
              <w:numPr>
                <w:ilvl w:val="0"/>
                <w:numId w:val="3"/>
              </w:numPr>
              <w:jc w:val="both"/>
              <w:rPr>
                <w:rFonts w:ascii="Arial" w:hAnsi="Arial" w:cs="Arial"/>
              </w:rPr>
            </w:pPr>
            <w:r w:rsidRPr="000E63C2">
              <w:rPr>
                <w:rFonts w:ascii="Arial" w:hAnsi="Arial" w:cs="Arial"/>
              </w:rPr>
              <w:t>Enhanced Accuracy - By digitizing forms and automating data entry, the project has minimized the potential for human error, ensuring that the information collected on-site is accurately recorded and immediately integrated into the central system.</w:t>
            </w:r>
          </w:p>
          <w:p w14:paraId="6E2FF02E" w14:textId="4037DF8A" w:rsidR="00275B1D" w:rsidRPr="000E63C2" w:rsidRDefault="00275B1D" w:rsidP="000E63C2">
            <w:pPr>
              <w:pStyle w:val="ListParagraph"/>
              <w:numPr>
                <w:ilvl w:val="0"/>
                <w:numId w:val="3"/>
              </w:numPr>
              <w:jc w:val="both"/>
              <w:rPr>
                <w:rFonts w:ascii="Arial" w:hAnsi="Arial" w:cs="Arial"/>
              </w:rPr>
            </w:pPr>
            <w:r w:rsidRPr="000E63C2">
              <w:rPr>
                <w:rFonts w:ascii="Arial" w:hAnsi="Arial" w:cs="Arial"/>
              </w:rPr>
              <w:t>Improved Resource Management - The project has reduced the need for paper-based processes and manual data entry, leading to better allocation of resources and reduced operational costs.</w:t>
            </w:r>
          </w:p>
          <w:p w14:paraId="401DFCF0" w14:textId="50AEABA3" w:rsidR="00275B1D" w:rsidRPr="000E63C2" w:rsidRDefault="00275B1D" w:rsidP="000E63C2">
            <w:pPr>
              <w:pStyle w:val="ListParagraph"/>
              <w:numPr>
                <w:ilvl w:val="0"/>
                <w:numId w:val="3"/>
              </w:numPr>
              <w:jc w:val="both"/>
              <w:rPr>
                <w:rFonts w:ascii="Arial" w:hAnsi="Arial" w:cs="Arial"/>
              </w:rPr>
            </w:pPr>
            <w:r w:rsidRPr="000E63C2">
              <w:rPr>
                <w:rFonts w:ascii="Arial" w:hAnsi="Arial" w:cs="Arial"/>
              </w:rPr>
              <w:t xml:space="preserve">Better Collaboration - The project has improved collaboration between the Building Control and GIS sections, fostering a more cohesive working relationship. This enhanced communication and data sharing not only streamline processes but also create an environment conducive to innovation. By working together more effectively, the two sections can identify new opportunities for improvement, share insights, and develop innovative solutions that enhance overall service delivery. </w:t>
            </w:r>
          </w:p>
          <w:p w14:paraId="3C2D51C0" w14:textId="190B8A1E" w:rsidR="004B6B8F" w:rsidRPr="00606C6A" w:rsidRDefault="004B6B8F" w:rsidP="00275B1D">
            <w:pPr>
              <w:jc w:val="both"/>
              <w:rPr>
                <w:rFonts w:ascii="Arial" w:hAnsi="Arial" w:cs="Arial"/>
              </w:rPr>
            </w:pPr>
          </w:p>
        </w:tc>
      </w:tr>
    </w:tbl>
    <w:p w14:paraId="4A820A42" w14:textId="77777777" w:rsidR="00307C86" w:rsidRDefault="00307C86" w:rsidP="005719CA">
      <w:pPr>
        <w:jc w:val="both"/>
        <w:rPr>
          <w:rFonts w:ascii="Arial" w:hAnsi="Arial" w:cs="Arial"/>
          <w:b/>
          <w:bCs/>
          <w:sz w:val="24"/>
          <w:szCs w:val="24"/>
        </w:rPr>
      </w:pPr>
    </w:p>
    <w:p w14:paraId="504061DC" w14:textId="762DF390" w:rsidR="004B6B8F" w:rsidRDefault="004B6B8F" w:rsidP="005719CA">
      <w:pPr>
        <w:jc w:val="both"/>
        <w:rPr>
          <w:rFonts w:ascii="Arial" w:hAnsi="Arial" w:cs="Arial"/>
          <w:b/>
          <w:bCs/>
          <w:sz w:val="24"/>
          <w:szCs w:val="24"/>
        </w:rPr>
      </w:pPr>
      <w:r>
        <w:rPr>
          <w:rFonts w:ascii="Arial" w:hAnsi="Arial" w:cs="Arial"/>
          <w:b/>
          <w:bCs/>
          <w:sz w:val="24"/>
          <w:szCs w:val="24"/>
        </w:rPr>
        <w:lastRenderedPageBreak/>
        <w:t>Description:</w:t>
      </w:r>
    </w:p>
    <w:p w14:paraId="6EA21FF9" w14:textId="041B2B05" w:rsidR="00275B1D" w:rsidRPr="00275B1D" w:rsidRDefault="00275B1D" w:rsidP="00275B1D">
      <w:pPr>
        <w:jc w:val="both"/>
        <w:rPr>
          <w:rFonts w:ascii="Arial" w:hAnsi="Arial" w:cs="Arial"/>
          <w:sz w:val="24"/>
          <w:szCs w:val="24"/>
        </w:rPr>
      </w:pPr>
      <w:r w:rsidRPr="00275B1D">
        <w:rPr>
          <w:rFonts w:ascii="Arial" w:hAnsi="Arial" w:cs="Arial"/>
          <w:sz w:val="24"/>
          <w:szCs w:val="24"/>
        </w:rPr>
        <w:t>The Building Control section within the</w:t>
      </w:r>
      <w:r>
        <w:rPr>
          <w:rFonts w:ascii="Arial" w:hAnsi="Arial" w:cs="Arial"/>
          <w:sz w:val="24"/>
          <w:szCs w:val="24"/>
        </w:rPr>
        <w:t xml:space="preserve"> </w:t>
      </w:r>
      <w:proofErr w:type="spellStart"/>
      <w:r>
        <w:rPr>
          <w:rFonts w:ascii="Arial" w:hAnsi="Arial" w:cs="Arial"/>
          <w:sz w:val="24"/>
          <w:szCs w:val="24"/>
        </w:rPr>
        <w:t>Midvaal</w:t>
      </w:r>
      <w:proofErr w:type="spellEnd"/>
      <w:r>
        <w:rPr>
          <w:rFonts w:ascii="Arial" w:hAnsi="Arial" w:cs="Arial"/>
          <w:sz w:val="24"/>
          <w:szCs w:val="24"/>
        </w:rPr>
        <w:t xml:space="preserve"> </w:t>
      </w:r>
      <w:r w:rsidR="000E63C2">
        <w:rPr>
          <w:rFonts w:ascii="Arial" w:hAnsi="Arial" w:cs="Arial"/>
          <w:sz w:val="24"/>
          <w:szCs w:val="24"/>
        </w:rPr>
        <w:t xml:space="preserve">Local </w:t>
      </w:r>
      <w:r>
        <w:rPr>
          <w:rFonts w:ascii="Arial" w:hAnsi="Arial" w:cs="Arial"/>
          <w:sz w:val="24"/>
          <w:szCs w:val="24"/>
        </w:rPr>
        <w:t xml:space="preserve">Municipality’s </w:t>
      </w:r>
      <w:r w:rsidRPr="00275B1D">
        <w:rPr>
          <w:rFonts w:ascii="Arial" w:hAnsi="Arial" w:cs="Arial"/>
          <w:sz w:val="24"/>
          <w:szCs w:val="24"/>
        </w:rPr>
        <w:t xml:space="preserve">Department of Development Planning are responsible for the processing of building plan applications and monitoring all developments in the municipality prior to occupation. The section must ensure that construction of approved building plans takes place within 12 months. This requires on-site visits to assess the </w:t>
      </w:r>
      <w:proofErr w:type="gramStart"/>
      <w:r w:rsidRPr="00275B1D">
        <w:rPr>
          <w:rFonts w:ascii="Arial" w:hAnsi="Arial" w:cs="Arial"/>
          <w:sz w:val="24"/>
          <w:szCs w:val="24"/>
        </w:rPr>
        <w:t>current status</w:t>
      </w:r>
      <w:proofErr w:type="gramEnd"/>
      <w:r w:rsidRPr="00275B1D">
        <w:rPr>
          <w:rFonts w:ascii="Arial" w:hAnsi="Arial" w:cs="Arial"/>
          <w:sz w:val="24"/>
          <w:szCs w:val="24"/>
        </w:rPr>
        <w:t xml:space="preserve"> of each application.</w:t>
      </w:r>
      <w:r>
        <w:rPr>
          <w:rFonts w:ascii="Arial" w:hAnsi="Arial" w:cs="Arial"/>
          <w:sz w:val="24"/>
          <w:szCs w:val="24"/>
        </w:rPr>
        <w:t xml:space="preserve"> </w:t>
      </w:r>
      <w:r w:rsidRPr="00275B1D">
        <w:rPr>
          <w:rFonts w:ascii="Arial" w:hAnsi="Arial" w:cs="Arial"/>
          <w:sz w:val="24"/>
          <w:szCs w:val="24"/>
        </w:rPr>
        <w:t xml:space="preserve">The Building Control section </w:t>
      </w:r>
      <w:r>
        <w:rPr>
          <w:rFonts w:ascii="Arial" w:hAnsi="Arial" w:cs="Arial"/>
          <w:sz w:val="24"/>
          <w:szCs w:val="24"/>
        </w:rPr>
        <w:t xml:space="preserve">would then </w:t>
      </w:r>
      <w:r w:rsidRPr="00275B1D">
        <w:rPr>
          <w:rFonts w:ascii="Arial" w:hAnsi="Arial" w:cs="Arial"/>
          <w:sz w:val="24"/>
          <w:szCs w:val="24"/>
        </w:rPr>
        <w:t>extract an Excel spreadsheet from the building plan applications system of applications that needed to be inspected on site. This list was given to the GIS section to create hard-copy maps for each building inspector. The building inspectors would conduct on-site investigations, manually recording the status of each application. Upon returning to the office, the building inspectors would re-enter this information into the spreadsheet.</w:t>
      </w:r>
    </w:p>
    <w:p w14:paraId="6F4F1D00" w14:textId="02941F5B" w:rsidR="00275B1D" w:rsidRPr="00275B1D" w:rsidRDefault="00275B1D" w:rsidP="00275B1D">
      <w:pPr>
        <w:jc w:val="both"/>
        <w:rPr>
          <w:rFonts w:ascii="Arial" w:hAnsi="Arial" w:cs="Arial"/>
          <w:sz w:val="24"/>
          <w:szCs w:val="24"/>
        </w:rPr>
      </w:pPr>
      <w:r w:rsidRPr="00275B1D">
        <w:rPr>
          <w:rFonts w:ascii="Arial" w:hAnsi="Arial" w:cs="Arial"/>
          <w:sz w:val="24"/>
          <w:szCs w:val="24"/>
        </w:rPr>
        <w:t>The</w:t>
      </w:r>
      <w:r w:rsidR="000E63C2">
        <w:rPr>
          <w:rFonts w:ascii="Arial" w:hAnsi="Arial" w:cs="Arial"/>
          <w:sz w:val="24"/>
          <w:szCs w:val="24"/>
        </w:rPr>
        <w:t xml:space="preserve"> solution </w:t>
      </w:r>
      <w:r w:rsidRPr="00275B1D">
        <w:rPr>
          <w:rFonts w:ascii="Arial" w:hAnsi="Arial" w:cs="Arial"/>
          <w:sz w:val="24"/>
          <w:szCs w:val="24"/>
        </w:rPr>
        <w:t>addresses th</w:t>
      </w:r>
      <w:r>
        <w:rPr>
          <w:rFonts w:ascii="Arial" w:hAnsi="Arial" w:cs="Arial"/>
          <w:sz w:val="24"/>
          <w:szCs w:val="24"/>
        </w:rPr>
        <w:t>is</w:t>
      </w:r>
      <w:r w:rsidRPr="00275B1D">
        <w:rPr>
          <w:rFonts w:ascii="Arial" w:hAnsi="Arial" w:cs="Arial"/>
          <w:sz w:val="24"/>
          <w:szCs w:val="24"/>
        </w:rPr>
        <w:t xml:space="preserve"> service delivery challenge by providing building control services more efficiently through transitioning from a manual, paper-based process to a streamlined digital workflow. The previous manual method was not only time-consuming but also prone to errors and data duplication. By implementation of the smart survey approach, the entire process was completed on site by using a mobile device. The key benefits include but not limited to increased efficiency and accuracy, real time data entry, streamlined workflow and sustainability (paperless).</w:t>
      </w:r>
    </w:p>
    <w:sectPr w:rsidR="00275B1D" w:rsidRPr="00275B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812BC"/>
    <w:multiLevelType w:val="hybridMultilevel"/>
    <w:tmpl w:val="C48A9B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28D691F"/>
    <w:multiLevelType w:val="hybridMultilevel"/>
    <w:tmpl w:val="3F6A4E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9C8410D"/>
    <w:multiLevelType w:val="hybridMultilevel"/>
    <w:tmpl w:val="FCAAA6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272204200">
    <w:abstractNumId w:val="1"/>
  </w:num>
  <w:num w:numId="2" w16cid:durableId="1065879632">
    <w:abstractNumId w:val="0"/>
  </w:num>
  <w:num w:numId="3" w16cid:durableId="47849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86"/>
    <w:rsid w:val="000353B2"/>
    <w:rsid w:val="000A79FD"/>
    <w:rsid w:val="000E63C2"/>
    <w:rsid w:val="000F5297"/>
    <w:rsid w:val="00175FFC"/>
    <w:rsid w:val="002437FA"/>
    <w:rsid w:val="00275B1D"/>
    <w:rsid w:val="00307C86"/>
    <w:rsid w:val="0037548E"/>
    <w:rsid w:val="003836CB"/>
    <w:rsid w:val="003F5238"/>
    <w:rsid w:val="00454B7E"/>
    <w:rsid w:val="0046422D"/>
    <w:rsid w:val="00494C65"/>
    <w:rsid w:val="004B6B8F"/>
    <w:rsid w:val="004E6D4A"/>
    <w:rsid w:val="004F1A94"/>
    <w:rsid w:val="00503043"/>
    <w:rsid w:val="00535EEA"/>
    <w:rsid w:val="005719CA"/>
    <w:rsid w:val="005B4BCE"/>
    <w:rsid w:val="00606C6A"/>
    <w:rsid w:val="00663280"/>
    <w:rsid w:val="006C4C4F"/>
    <w:rsid w:val="007B358D"/>
    <w:rsid w:val="0086336D"/>
    <w:rsid w:val="0088230C"/>
    <w:rsid w:val="008E5A77"/>
    <w:rsid w:val="00905CAB"/>
    <w:rsid w:val="0094457B"/>
    <w:rsid w:val="009D1BF9"/>
    <w:rsid w:val="009D7C57"/>
    <w:rsid w:val="00A0017C"/>
    <w:rsid w:val="00A11BCA"/>
    <w:rsid w:val="00A139C6"/>
    <w:rsid w:val="00AE7F66"/>
    <w:rsid w:val="00AF1240"/>
    <w:rsid w:val="00B31D08"/>
    <w:rsid w:val="00B63F40"/>
    <w:rsid w:val="00B82DD5"/>
    <w:rsid w:val="00B970B6"/>
    <w:rsid w:val="00BA1075"/>
    <w:rsid w:val="00C10407"/>
    <w:rsid w:val="00CF5E23"/>
    <w:rsid w:val="00D549C3"/>
    <w:rsid w:val="00D73F4E"/>
    <w:rsid w:val="00DB2C26"/>
    <w:rsid w:val="00E1497D"/>
    <w:rsid w:val="00E35E5E"/>
    <w:rsid w:val="00E93CBE"/>
    <w:rsid w:val="00EA609B"/>
    <w:rsid w:val="00F50E09"/>
    <w:rsid w:val="00F72A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2EA74"/>
  <w15:chartTrackingRefBased/>
  <w15:docId w15:val="{AC0540C5-4B2B-4D20-8C99-DBF7E93B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7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7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7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7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7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C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7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7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C86"/>
    <w:rPr>
      <w:rFonts w:eastAsiaTheme="majorEastAsia" w:cstheme="majorBidi"/>
      <w:color w:val="272727" w:themeColor="text1" w:themeTint="D8"/>
    </w:rPr>
  </w:style>
  <w:style w:type="paragraph" w:styleId="Title">
    <w:name w:val="Title"/>
    <w:basedOn w:val="Normal"/>
    <w:next w:val="Normal"/>
    <w:link w:val="TitleChar"/>
    <w:uiPriority w:val="10"/>
    <w:qFormat/>
    <w:rsid w:val="00307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C86"/>
    <w:pPr>
      <w:spacing w:before="160"/>
      <w:jc w:val="center"/>
    </w:pPr>
    <w:rPr>
      <w:i/>
      <w:iCs/>
      <w:color w:val="404040" w:themeColor="text1" w:themeTint="BF"/>
    </w:rPr>
  </w:style>
  <w:style w:type="character" w:customStyle="1" w:styleId="QuoteChar">
    <w:name w:val="Quote Char"/>
    <w:basedOn w:val="DefaultParagraphFont"/>
    <w:link w:val="Quote"/>
    <w:uiPriority w:val="29"/>
    <w:rsid w:val="00307C86"/>
    <w:rPr>
      <w:i/>
      <w:iCs/>
      <w:color w:val="404040" w:themeColor="text1" w:themeTint="BF"/>
    </w:rPr>
  </w:style>
  <w:style w:type="paragraph" w:styleId="ListParagraph">
    <w:name w:val="List Paragraph"/>
    <w:basedOn w:val="Normal"/>
    <w:uiPriority w:val="34"/>
    <w:qFormat/>
    <w:rsid w:val="00307C86"/>
    <w:pPr>
      <w:ind w:left="720"/>
      <w:contextualSpacing/>
    </w:pPr>
  </w:style>
  <w:style w:type="character" w:styleId="IntenseEmphasis">
    <w:name w:val="Intense Emphasis"/>
    <w:basedOn w:val="DefaultParagraphFont"/>
    <w:uiPriority w:val="21"/>
    <w:qFormat/>
    <w:rsid w:val="00307C86"/>
    <w:rPr>
      <w:i/>
      <w:iCs/>
      <w:color w:val="0F4761" w:themeColor="accent1" w:themeShade="BF"/>
    </w:rPr>
  </w:style>
  <w:style w:type="paragraph" w:styleId="IntenseQuote">
    <w:name w:val="Intense Quote"/>
    <w:basedOn w:val="Normal"/>
    <w:next w:val="Normal"/>
    <w:link w:val="IntenseQuoteChar"/>
    <w:uiPriority w:val="30"/>
    <w:qFormat/>
    <w:rsid w:val="00307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C86"/>
    <w:rPr>
      <w:i/>
      <w:iCs/>
      <w:color w:val="0F4761" w:themeColor="accent1" w:themeShade="BF"/>
    </w:rPr>
  </w:style>
  <w:style w:type="character" w:styleId="IntenseReference">
    <w:name w:val="Intense Reference"/>
    <w:basedOn w:val="DefaultParagraphFont"/>
    <w:uiPriority w:val="32"/>
    <w:qFormat/>
    <w:rsid w:val="00307C86"/>
    <w:rPr>
      <w:b/>
      <w:bCs/>
      <w:smallCaps/>
      <w:color w:val="0F4761" w:themeColor="accent1" w:themeShade="BF"/>
      <w:spacing w:val="5"/>
    </w:rPr>
  </w:style>
  <w:style w:type="table" w:styleId="TableGrid">
    <w:name w:val="Table Grid"/>
    <w:basedOn w:val="TableNormal"/>
    <w:uiPriority w:val="39"/>
    <w:rsid w:val="00307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7C86"/>
    <w:rPr>
      <w:color w:val="467886" w:themeColor="hyperlink"/>
      <w:u w:val="single"/>
    </w:rPr>
  </w:style>
  <w:style w:type="character" w:styleId="UnresolvedMention">
    <w:name w:val="Unresolved Mention"/>
    <w:basedOn w:val="DefaultParagraphFont"/>
    <w:uiPriority w:val="99"/>
    <w:semiHidden/>
    <w:unhideWhenUsed/>
    <w:rsid w:val="00307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Nsizwa Dlamini</dc:creator>
  <cp:keywords/>
  <dc:description/>
  <cp:lastModifiedBy>Nsizwa Dlamini</cp:lastModifiedBy>
  <cp:revision>2</cp:revision>
  <cp:lastPrinted>2026-01-23T07:31:00Z</cp:lastPrinted>
  <dcterms:created xsi:type="dcterms:W3CDTF">2026-08-04T11:10:00Z</dcterms:created>
  <dcterms:modified xsi:type="dcterms:W3CDTF">2026-08-04T11:10:00Z</dcterms:modified>
</cp:coreProperties>
</file>